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CE" w:rsidRPr="00412F58" w:rsidRDefault="00714DCE" w:rsidP="007B5809">
      <w:pPr>
        <w:widowControl w:val="0"/>
        <w:suppressAutoHyphens/>
        <w:spacing w:after="0" w:line="240" w:lineRule="auto"/>
        <w:ind w:right="560"/>
        <w:rPr>
          <w:rFonts w:eastAsia="Times New Roman" w:cs="Calibri"/>
          <w:b/>
          <w:bCs/>
          <w:lang w:eastAsia="pl-PL"/>
        </w:rPr>
      </w:pPr>
    </w:p>
    <w:p w:rsidR="00714DCE" w:rsidRPr="00412F58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eastAsia="Times New Roman" w:cs="Calibri"/>
          <w:b/>
          <w:bCs/>
          <w:lang w:eastAsia="pl-PL"/>
        </w:rPr>
      </w:pPr>
    </w:p>
    <w:p w:rsidR="00501B0B" w:rsidRPr="00412F58" w:rsidRDefault="00501B0B">
      <w:pPr>
        <w:keepNext/>
        <w:widowControl w:val="0"/>
        <w:suppressAutoHyphens/>
        <w:spacing w:after="0" w:line="240" w:lineRule="auto"/>
        <w:jc w:val="right"/>
        <w:outlineLvl w:val="0"/>
        <w:rPr>
          <w:rFonts w:eastAsia="Times New Roman" w:cs="Calibri"/>
          <w:b/>
          <w:bCs/>
          <w:lang w:eastAsia="pl-PL"/>
        </w:rPr>
      </w:pPr>
    </w:p>
    <w:p w:rsidR="00714DCE" w:rsidRPr="00412F58" w:rsidRDefault="00714DCE" w:rsidP="00832D2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  <w:rFonts w:cs="Calibri"/>
        </w:rPr>
      </w:pPr>
      <w:r w:rsidRPr="00412F58">
        <w:rPr>
          <w:rFonts w:eastAsia="Times New Roman" w:cs="Calibri"/>
          <w:b/>
          <w:bCs/>
          <w:lang w:eastAsia="pl-PL"/>
        </w:rPr>
        <w:t>KARTA KURSU (realizowanego w module specjalności)</w:t>
      </w:r>
    </w:p>
    <w:p w:rsidR="00714DCE" w:rsidRPr="00412F58" w:rsidRDefault="00714DCE" w:rsidP="00832D2E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lang w:eastAsia="pl-PL"/>
        </w:rPr>
      </w:pPr>
    </w:p>
    <w:p w:rsidR="00714DCE" w:rsidRPr="00412F58" w:rsidRDefault="00E94D80" w:rsidP="00832D2E">
      <w:pPr>
        <w:jc w:val="center"/>
        <w:rPr>
          <w:rFonts w:cs="Calibri"/>
        </w:rPr>
      </w:pPr>
      <w:r w:rsidRPr="00412F58">
        <w:rPr>
          <w:rFonts w:cs="Calibri"/>
          <w:b/>
        </w:rPr>
        <w:t xml:space="preserve">BEZPIECZEŃSTWO </w:t>
      </w:r>
      <w:r w:rsidR="009676A6">
        <w:rPr>
          <w:rFonts w:cs="Calibri"/>
          <w:b/>
        </w:rPr>
        <w:t>INFORMACYJNE</w:t>
      </w:r>
    </w:p>
    <w:p w:rsidR="00714DCE" w:rsidRPr="00412F58" w:rsidRDefault="00714DCE" w:rsidP="00832D2E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i/>
          <w:lang w:eastAsia="pl-PL"/>
        </w:rPr>
      </w:pPr>
      <w:r w:rsidRPr="00412F58">
        <w:rPr>
          <w:rFonts w:eastAsia="Times New Roman" w:cs="Calibri"/>
          <w:b/>
          <w:bCs/>
          <w:i/>
          <w:lang w:eastAsia="pl-PL"/>
        </w:rPr>
        <w:t>(nazwa specjalności)</w:t>
      </w:r>
    </w:p>
    <w:p w:rsidR="00E05287" w:rsidRPr="00412F58" w:rsidRDefault="00E05287" w:rsidP="007B5809">
      <w:pPr>
        <w:widowControl w:val="0"/>
        <w:suppressAutoHyphens/>
        <w:spacing w:after="0" w:line="240" w:lineRule="auto"/>
        <w:rPr>
          <w:rFonts w:eastAsia="Times New Roman" w:cs="Calibri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412F58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05287" w:rsidRPr="00412F58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E05287" w:rsidRPr="00412F58" w:rsidRDefault="00D8386F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Przestępstwa przeciwko bezpieczeństwu informacyjnemu</w:t>
            </w:r>
          </w:p>
        </w:tc>
      </w:tr>
      <w:tr w:rsidR="00E05287" w:rsidRPr="00412F58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05287" w:rsidRPr="00412F58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E05287" w:rsidRPr="00412F58" w:rsidRDefault="004764F7" w:rsidP="00797900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eastAsia="Times New Roman" w:cs="Calibri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Crimes against Information Security</w:t>
            </w:r>
          </w:p>
        </w:tc>
      </w:tr>
    </w:tbl>
    <w:p w:rsidR="00E05287" w:rsidRPr="00412F58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412F58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E05287" w:rsidRPr="00412F58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E05287" w:rsidRPr="00412F58" w:rsidRDefault="00971A0B" w:rsidP="0079790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 xml:space="preserve">dr </w:t>
            </w:r>
            <w:r w:rsidR="00797900" w:rsidRPr="00412F58">
              <w:rPr>
                <w:rFonts w:eastAsia="Times New Roman" w:cs="Calibri"/>
                <w:lang w:eastAsia="pl-PL"/>
              </w:rPr>
              <w:t>Paulina Motylińska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E05287" w:rsidRPr="00412F58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Zespół dydaktyczny</w:t>
            </w:r>
          </w:p>
        </w:tc>
      </w:tr>
      <w:tr w:rsidR="00E05287" w:rsidRPr="00412F58" w:rsidTr="00AA34D4">
        <w:trPr>
          <w:cantSplit/>
          <w:trHeight w:val="383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E05287" w:rsidRPr="00412F58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E05287" w:rsidRPr="00412F58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54B62" w:rsidRPr="00412F58" w:rsidRDefault="00797900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d</w:t>
            </w:r>
            <w:r w:rsidR="00354B62" w:rsidRPr="00412F58">
              <w:rPr>
                <w:rFonts w:eastAsia="Times New Roman" w:cs="Calibri"/>
                <w:lang w:eastAsia="pl-PL"/>
              </w:rPr>
              <w:t>r Paulina Motylińska</w:t>
            </w:r>
          </w:p>
        </w:tc>
      </w:tr>
      <w:tr w:rsidR="00E05287" w:rsidRPr="00412F58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5287" w:rsidRPr="00412F58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E05287" w:rsidRPr="00412F58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05287" w:rsidRPr="00412F58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05287" w:rsidRPr="00412F58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E05287" w:rsidRPr="00412F58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5287" w:rsidRPr="00412F58" w:rsidRDefault="009676A6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05287" w:rsidRPr="00412F58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714DCE" w:rsidRPr="00412F58" w:rsidRDefault="00714DCE" w:rsidP="00971A0B">
      <w:pPr>
        <w:keepNext/>
        <w:widowControl w:val="0"/>
        <w:suppressAutoHyphens/>
        <w:spacing w:after="0" w:line="240" w:lineRule="auto"/>
        <w:outlineLvl w:val="0"/>
        <w:rPr>
          <w:rFonts w:eastAsia="Times New Roman" w:cs="Calibri"/>
          <w:i/>
          <w:lang w:eastAsia="pl-PL"/>
        </w:rPr>
      </w:pPr>
    </w:p>
    <w:p w:rsidR="00714DCE" w:rsidRPr="00412F58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  <w:r w:rsidRPr="00412F58">
        <w:rPr>
          <w:rFonts w:eastAsia="Times New Roman" w:cs="Calibri"/>
          <w:lang w:eastAsia="pl-PL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:rsidRPr="00412F58">
        <w:trPr>
          <w:trHeight w:val="1365"/>
        </w:trPr>
        <w:tc>
          <w:tcPr>
            <w:tcW w:w="9640" w:type="dxa"/>
          </w:tcPr>
          <w:p w:rsidR="00247CBE" w:rsidRPr="00412F58" w:rsidRDefault="00797900" w:rsidP="00A3745D">
            <w:pPr>
              <w:jc w:val="both"/>
              <w:rPr>
                <w:rFonts w:cs="Calibri"/>
              </w:rPr>
            </w:pPr>
            <w:r w:rsidRPr="00412F58">
              <w:rPr>
                <w:rFonts w:cs="Calibri"/>
              </w:rPr>
              <w:t xml:space="preserve">Kurs ma na celu przekazanie studentom </w:t>
            </w:r>
            <w:r w:rsidR="00A3745D">
              <w:rPr>
                <w:rFonts w:cs="Calibri"/>
              </w:rPr>
              <w:t>podstawowej</w:t>
            </w:r>
            <w:r w:rsidRPr="00412F58">
              <w:rPr>
                <w:rFonts w:cs="Calibri"/>
              </w:rPr>
              <w:t xml:space="preserve"> wiedzy w zakresie </w:t>
            </w:r>
            <w:r w:rsidR="00A3745D">
              <w:rPr>
                <w:rFonts w:cs="Calibri"/>
              </w:rPr>
              <w:t>przestępczości w obszarze bezpieczeństwa informacyjnego. Tematyka zajęć obejmuje głównie zagadnienia związane z przestępczością przeciwko bezpieczeństwu elektronicznie przetwarzanej informacji. Studenci poznają zagadnienia przestępstw przeciwko poufności, integralności i dostępności informacji w systemach komputerowych, przestępstwa związane z naruszaniem praw autorskich i praw pokrewnych, przestępstwa związane z treścią informacji. Przedstawione zostaną także kwestie zapobiegania prz</w:t>
            </w:r>
            <w:r w:rsidR="00C843A6">
              <w:rPr>
                <w:rFonts w:cs="Calibri"/>
              </w:rPr>
              <w:t xml:space="preserve">estępstwom w cyberprzestrzeni, </w:t>
            </w:r>
            <w:r w:rsidR="00A3745D">
              <w:rPr>
                <w:rFonts w:cs="Calibri"/>
              </w:rPr>
              <w:t xml:space="preserve">zwalczania </w:t>
            </w:r>
            <w:r w:rsidR="00C843A6">
              <w:rPr>
                <w:rFonts w:cs="Calibri"/>
              </w:rPr>
              <w:t xml:space="preserve">i przyszłości </w:t>
            </w:r>
            <w:r w:rsidR="00A3745D">
              <w:rPr>
                <w:rFonts w:cs="Calibri"/>
              </w:rPr>
              <w:t>cyberprzestępczości.</w:t>
            </w:r>
          </w:p>
        </w:tc>
      </w:tr>
    </w:tbl>
    <w:p w:rsidR="00714DCE" w:rsidRPr="00412F58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714DCE" w:rsidRPr="00412F58" w:rsidRDefault="00714DCE" w:rsidP="007B5809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  <w:r w:rsidRPr="00412F58">
        <w:rPr>
          <w:rFonts w:eastAsia="Times New Roman" w:cs="Calibri"/>
          <w:lang w:eastAsia="pl-PL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:rsidRPr="00412F5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14DCE" w:rsidRPr="00412F58" w:rsidRDefault="00714DCE" w:rsidP="0097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 xml:space="preserve">Odniesienie do efektów dla specjalności </w:t>
            </w:r>
          </w:p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12F58">
              <w:rPr>
                <w:rFonts w:eastAsia="Times New Roman" w:cs="Calibri"/>
                <w:sz w:val="18"/>
                <w:szCs w:val="18"/>
                <w:lang w:eastAsia="pl-PL"/>
              </w:rPr>
              <w:t>(określonych w karcie programu studiów dla modułu specjalnościowego)</w:t>
            </w:r>
          </w:p>
        </w:tc>
      </w:tr>
      <w:tr w:rsidR="00714DCE" w:rsidRPr="00412F58" w:rsidTr="00F400EB">
        <w:trPr>
          <w:cantSplit/>
          <w:trHeight w:val="2552"/>
        </w:trPr>
        <w:tc>
          <w:tcPr>
            <w:tcW w:w="1979" w:type="dxa"/>
            <w:vMerge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296" w:type="dxa"/>
          </w:tcPr>
          <w:p w:rsidR="00E94D80" w:rsidRDefault="00E94D80" w:rsidP="00C843A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W0</w:t>
            </w:r>
            <w:r w:rsidR="00F400EB" w:rsidRPr="00412F58">
              <w:rPr>
                <w:rFonts w:eastAsia="Times New Roman" w:cs="Calibri"/>
                <w:lang w:eastAsia="pl-PL"/>
              </w:rPr>
              <w:t>1</w:t>
            </w:r>
            <w:r w:rsidR="00696D36" w:rsidRPr="00412F58">
              <w:rPr>
                <w:rFonts w:eastAsia="Times New Roman" w:cs="Calibri"/>
                <w:lang w:eastAsia="pl-PL"/>
              </w:rPr>
              <w:t>:</w:t>
            </w:r>
            <w:r w:rsidRPr="00412F58">
              <w:rPr>
                <w:rFonts w:eastAsia="Times New Roman" w:cs="Calibri"/>
                <w:lang w:eastAsia="pl-PL"/>
              </w:rPr>
              <w:t xml:space="preserve"> Student </w:t>
            </w:r>
            <w:r w:rsidR="00C843A6">
              <w:rPr>
                <w:rFonts w:eastAsia="Times New Roman" w:cs="Calibri"/>
                <w:lang w:eastAsia="pl-PL"/>
              </w:rPr>
              <w:t>posiada wiedzę w zakresie uwarunkowań przestępczości przeciwko bezpieczeństwu informacyjnemu.</w:t>
            </w:r>
          </w:p>
          <w:p w:rsidR="00FF7010" w:rsidRPr="00412F58" w:rsidRDefault="00FF7010" w:rsidP="00C843A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E94D80" w:rsidRDefault="00E94D80" w:rsidP="00C843A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W0</w:t>
            </w:r>
            <w:r w:rsidR="00F400EB" w:rsidRPr="00412F58">
              <w:rPr>
                <w:rFonts w:eastAsia="Times New Roman" w:cs="Calibri"/>
                <w:lang w:eastAsia="pl-PL"/>
              </w:rPr>
              <w:t>2</w:t>
            </w:r>
            <w:r w:rsidR="00696D36" w:rsidRPr="00412F58">
              <w:rPr>
                <w:rFonts w:eastAsia="Times New Roman" w:cs="Calibri"/>
                <w:lang w:eastAsia="pl-PL"/>
              </w:rPr>
              <w:t>:</w:t>
            </w:r>
            <w:r w:rsidRPr="00412F58">
              <w:rPr>
                <w:rFonts w:eastAsia="Times New Roman" w:cs="Calibri"/>
                <w:lang w:eastAsia="pl-PL"/>
              </w:rPr>
              <w:t xml:space="preserve"> Student zna</w:t>
            </w:r>
            <w:r w:rsidR="00953222" w:rsidRPr="00412F58">
              <w:rPr>
                <w:rFonts w:eastAsia="Times New Roman" w:cs="Calibri"/>
                <w:lang w:eastAsia="pl-PL"/>
              </w:rPr>
              <w:t xml:space="preserve"> </w:t>
            </w:r>
            <w:r w:rsidR="00C843A6">
              <w:rPr>
                <w:rFonts w:eastAsia="Times New Roman" w:cs="Calibri"/>
                <w:lang w:eastAsia="pl-PL"/>
              </w:rPr>
              <w:t>regulacje prawne w kontekście przestępczości przeciwko bezpieczeństwu informacyjnemu.</w:t>
            </w:r>
          </w:p>
          <w:p w:rsidR="00FF7010" w:rsidRPr="00412F58" w:rsidRDefault="00FF7010" w:rsidP="00C843A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F13C77" w:rsidRPr="00412F58" w:rsidRDefault="00E94D80" w:rsidP="00C843A6">
            <w:pPr>
              <w:widowControl w:val="0"/>
              <w:suppressAutoHyphens/>
              <w:autoSpaceDE w:val="0"/>
              <w:spacing w:after="0" w:line="240" w:lineRule="auto"/>
              <w:rPr>
                <w:rFonts w:eastAsia="MyriadPro-Regular" w:cs="Calibri"/>
              </w:rPr>
            </w:pPr>
            <w:r w:rsidRPr="00412F58">
              <w:rPr>
                <w:rFonts w:eastAsia="Times New Roman" w:cs="Calibri"/>
                <w:lang w:eastAsia="pl-PL"/>
              </w:rPr>
              <w:t>W0</w:t>
            </w:r>
            <w:r w:rsidR="00F400EB" w:rsidRPr="00412F58">
              <w:rPr>
                <w:rFonts w:eastAsia="Times New Roman" w:cs="Calibri"/>
                <w:lang w:eastAsia="pl-PL"/>
              </w:rPr>
              <w:t>3</w:t>
            </w:r>
            <w:r w:rsidR="00696D36" w:rsidRPr="00412F58">
              <w:rPr>
                <w:rFonts w:eastAsia="Times New Roman" w:cs="Calibri"/>
                <w:lang w:eastAsia="pl-PL"/>
              </w:rPr>
              <w:t>:</w:t>
            </w:r>
            <w:r w:rsidRPr="00412F58">
              <w:rPr>
                <w:rFonts w:eastAsia="Times New Roman" w:cs="Calibri"/>
                <w:lang w:eastAsia="pl-PL"/>
              </w:rPr>
              <w:t xml:space="preserve"> </w:t>
            </w:r>
            <w:r w:rsidR="00953222" w:rsidRPr="00412F58">
              <w:rPr>
                <w:rFonts w:eastAsia="Times New Roman" w:cs="Calibri"/>
                <w:lang w:eastAsia="pl-PL"/>
              </w:rPr>
              <w:t xml:space="preserve">Student </w:t>
            </w:r>
            <w:r w:rsidR="00C843A6">
              <w:rPr>
                <w:rFonts w:eastAsia="Times New Roman" w:cs="Calibri"/>
                <w:lang w:eastAsia="pl-PL"/>
              </w:rPr>
              <w:t>zna typy przestępstw przeciwko bezpieczeństwu informacyjnemu oraz wskazuje możliwości przeciwdziałania im i ich zwalczania.</w:t>
            </w:r>
          </w:p>
        </w:tc>
        <w:tc>
          <w:tcPr>
            <w:tcW w:w="2365" w:type="dxa"/>
          </w:tcPr>
          <w:p w:rsidR="009676A6" w:rsidRDefault="009676A6" w:rsidP="00E94D80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color w:val="000000"/>
              </w:rPr>
            </w:pPr>
          </w:p>
          <w:p w:rsidR="00FF7010" w:rsidRDefault="009676A6" w:rsidP="00E94D80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BI_W02</w:t>
            </w:r>
          </w:p>
          <w:p w:rsidR="009676A6" w:rsidRDefault="009676A6" w:rsidP="00E94D80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color w:val="000000"/>
              </w:rPr>
            </w:pPr>
          </w:p>
          <w:p w:rsidR="009676A6" w:rsidRPr="00412F58" w:rsidRDefault="009676A6" w:rsidP="00E94D80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BI_W03</w:t>
            </w:r>
          </w:p>
        </w:tc>
      </w:tr>
    </w:tbl>
    <w:p w:rsidR="00714DCE" w:rsidRPr="00412F58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412F5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lastRenderedPageBreak/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Odniesienie do efektów dla specjalności</w:t>
            </w:r>
          </w:p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12F58">
              <w:rPr>
                <w:rFonts w:eastAsia="Times New Roman" w:cs="Calibri"/>
                <w:sz w:val="18"/>
                <w:szCs w:val="18"/>
                <w:lang w:eastAsia="pl-PL"/>
              </w:rPr>
              <w:t>(określonych w karcie programu studiów dla modułu specjalność)</w:t>
            </w:r>
          </w:p>
        </w:tc>
      </w:tr>
      <w:tr w:rsidR="00F46A1B" w:rsidRPr="00412F58">
        <w:trPr>
          <w:cantSplit/>
          <w:trHeight w:val="2116"/>
        </w:trPr>
        <w:tc>
          <w:tcPr>
            <w:tcW w:w="1985" w:type="dxa"/>
            <w:vMerge/>
          </w:tcPr>
          <w:p w:rsidR="00F46A1B" w:rsidRPr="00412F58" w:rsidRDefault="00F46A1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245" w:type="dxa"/>
          </w:tcPr>
          <w:p w:rsidR="00F46A1B" w:rsidRDefault="00F400EB" w:rsidP="00213991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  <w:r w:rsidRPr="00412F58">
              <w:rPr>
                <w:rFonts w:eastAsia="Times New Roman" w:cs="Calibri"/>
                <w:lang w:eastAsia="pl-PL"/>
              </w:rPr>
              <w:t>U01:</w:t>
            </w:r>
            <w:r w:rsidR="00F46A1B" w:rsidRPr="00412F58">
              <w:rPr>
                <w:rFonts w:eastAsia="Times New Roman" w:cs="Calibri"/>
                <w:lang w:eastAsia="pl-PL"/>
              </w:rPr>
              <w:t xml:space="preserve"> Student </w:t>
            </w:r>
            <w:r w:rsidR="00F46A1B" w:rsidRPr="00412F58">
              <w:rPr>
                <w:rFonts w:cs="Calibri"/>
              </w:rPr>
              <w:t xml:space="preserve">potrafi </w:t>
            </w:r>
            <w:r w:rsidR="00213991" w:rsidRPr="00412F58">
              <w:rPr>
                <w:rFonts w:cs="Calibri"/>
              </w:rPr>
              <w:t xml:space="preserve">wykorzystać wiedzę teoretyczną do </w:t>
            </w:r>
            <w:r w:rsidR="00FF7010">
              <w:rPr>
                <w:rFonts w:cs="Calibri"/>
              </w:rPr>
              <w:t>analizy i charakterystyki wybranych typów przestępstw przeciwko bezpieczeństwu informacyjnemu</w:t>
            </w:r>
            <w:r w:rsidR="00213991" w:rsidRPr="00412F58">
              <w:rPr>
                <w:rFonts w:cs="Calibri"/>
              </w:rPr>
              <w:t>.</w:t>
            </w:r>
          </w:p>
          <w:p w:rsidR="00FF7010" w:rsidRPr="00412F58" w:rsidRDefault="00FF7010" w:rsidP="00213991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</w:p>
          <w:p w:rsidR="00F46A1B" w:rsidRPr="00FF7010" w:rsidRDefault="00F400EB" w:rsidP="00342CA4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  <w:r w:rsidRPr="00412F58">
              <w:rPr>
                <w:rFonts w:cs="Calibri"/>
              </w:rPr>
              <w:t>U02:</w:t>
            </w:r>
            <w:r w:rsidR="00F46A1B" w:rsidRPr="00412F58">
              <w:rPr>
                <w:rFonts w:cs="Calibri"/>
              </w:rPr>
              <w:t xml:space="preserve"> Student </w:t>
            </w:r>
            <w:r w:rsidR="00FF7010">
              <w:rPr>
                <w:rFonts w:cs="Calibri"/>
              </w:rPr>
              <w:t>proponuje rozwiązania w zakresie przeciwdziałania i zwalczania przestępczości przeciwko bezpieczeństwu informacyjnemu.</w:t>
            </w:r>
          </w:p>
        </w:tc>
        <w:tc>
          <w:tcPr>
            <w:tcW w:w="2410" w:type="dxa"/>
          </w:tcPr>
          <w:p w:rsidR="009676A6" w:rsidRDefault="009676A6" w:rsidP="00F400EB">
            <w:pPr>
              <w:spacing w:after="0" w:line="240" w:lineRule="auto"/>
              <w:rPr>
                <w:rFonts w:cs="Calibri"/>
              </w:rPr>
            </w:pPr>
          </w:p>
          <w:p w:rsidR="002138E6" w:rsidRDefault="009676A6" w:rsidP="00F400E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BI_U01</w:t>
            </w:r>
          </w:p>
          <w:p w:rsidR="00FF7010" w:rsidRDefault="00FF7010" w:rsidP="00F400EB">
            <w:pPr>
              <w:spacing w:after="0" w:line="240" w:lineRule="auto"/>
              <w:rPr>
                <w:rFonts w:cs="Calibri"/>
              </w:rPr>
            </w:pPr>
          </w:p>
          <w:p w:rsidR="00FF7010" w:rsidRPr="00412F58" w:rsidRDefault="009676A6" w:rsidP="00F400E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BI_U02</w:t>
            </w:r>
          </w:p>
        </w:tc>
      </w:tr>
    </w:tbl>
    <w:p w:rsidR="004E36F5" w:rsidRPr="00412F58" w:rsidRDefault="004E36F5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412F5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 xml:space="preserve">Odniesienie do efektów  dla specjalności </w:t>
            </w:r>
            <w:r w:rsidRPr="00412F58">
              <w:rPr>
                <w:rFonts w:eastAsia="Times New Roman" w:cs="Calibri"/>
                <w:sz w:val="18"/>
                <w:szCs w:val="18"/>
                <w:lang w:eastAsia="pl-PL"/>
              </w:rPr>
              <w:t>(określonych w karcie programu studiów dla modułu specjalnościowego)</w:t>
            </w:r>
          </w:p>
        </w:tc>
      </w:tr>
      <w:tr w:rsidR="002138E6" w:rsidRPr="00412F58">
        <w:trPr>
          <w:cantSplit/>
          <w:trHeight w:val="1984"/>
        </w:trPr>
        <w:tc>
          <w:tcPr>
            <w:tcW w:w="1985" w:type="dxa"/>
            <w:vMerge/>
          </w:tcPr>
          <w:p w:rsidR="002138E6" w:rsidRPr="00412F58" w:rsidRDefault="002138E6" w:rsidP="002138E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245" w:type="dxa"/>
          </w:tcPr>
          <w:p w:rsidR="002138E6" w:rsidRDefault="002138E6" w:rsidP="002138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 xml:space="preserve">K01: Student krytycznie ocenia własne kompetencje w zakresie </w:t>
            </w:r>
            <w:r w:rsidR="00FF7010">
              <w:rPr>
                <w:rFonts w:eastAsia="Times New Roman" w:cs="Calibri"/>
                <w:lang w:eastAsia="pl-PL"/>
              </w:rPr>
              <w:t>bezpieczeństwa informacyjnego</w:t>
            </w:r>
            <w:r w:rsidRPr="00412F58">
              <w:rPr>
                <w:rFonts w:eastAsia="Times New Roman" w:cs="Calibri"/>
                <w:lang w:eastAsia="pl-PL"/>
              </w:rPr>
              <w:t>.</w:t>
            </w:r>
          </w:p>
          <w:p w:rsidR="00FF7010" w:rsidRPr="00412F58" w:rsidRDefault="00FF7010" w:rsidP="002138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2138E6" w:rsidRPr="00412F58" w:rsidRDefault="002138E6" w:rsidP="002138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K02: Student samodzie</w:t>
            </w:r>
            <w:r w:rsidR="00FF7010">
              <w:rPr>
                <w:rFonts w:eastAsia="Times New Roman" w:cs="Calibri"/>
                <w:lang w:eastAsia="pl-PL"/>
              </w:rPr>
              <w:t>lnie rozszerza swoją wiedzę w zakresie przestępczości przeciwko bezpieczeństwu informacyjnemu.</w:t>
            </w:r>
          </w:p>
          <w:p w:rsidR="002138E6" w:rsidRDefault="002138E6" w:rsidP="002138E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9B7183" w:rsidRPr="00412F58" w:rsidRDefault="009B7183" w:rsidP="002138E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K03: Student aktywnie pracuje samodzielnie oraz w grupie.</w:t>
            </w:r>
          </w:p>
        </w:tc>
        <w:tc>
          <w:tcPr>
            <w:tcW w:w="2410" w:type="dxa"/>
          </w:tcPr>
          <w:p w:rsidR="00FF7010" w:rsidRDefault="009676A6" w:rsidP="002138E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BI_K01</w:t>
            </w:r>
          </w:p>
          <w:p w:rsidR="009676A6" w:rsidRPr="007B7D92" w:rsidRDefault="009676A6" w:rsidP="002138E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BI_K03</w:t>
            </w:r>
          </w:p>
          <w:p w:rsidR="00FF7010" w:rsidRPr="00412F58" w:rsidRDefault="009B7183" w:rsidP="002138E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BI_K02</w:t>
            </w:r>
          </w:p>
        </w:tc>
      </w:tr>
    </w:tbl>
    <w:p w:rsidR="00E523B1" w:rsidRPr="00412F58" w:rsidRDefault="00E523B1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:rsidRPr="00412F5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Organizacja</w:t>
            </w:r>
          </w:p>
        </w:tc>
      </w:tr>
      <w:tr w:rsidR="00714DCE" w:rsidRPr="00412F5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Wykład</w:t>
            </w:r>
          </w:p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Ćwiczenia w grupach</w:t>
            </w:r>
          </w:p>
        </w:tc>
      </w:tr>
      <w:tr w:rsidR="00714DCE" w:rsidRPr="00412F5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14DCE" w:rsidRPr="00412F5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14DCE" w:rsidRPr="00412F58" w:rsidRDefault="009B718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412F58" w:rsidRDefault="009B718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714DCE" w:rsidRPr="00412F58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714DCE" w:rsidRPr="00412F58" w:rsidRDefault="004E36F5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  <w:r w:rsidRPr="00412F58">
        <w:rPr>
          <w:rFonts w:eastAsia="Times New Roman" w:cs="Calibri"/>
          <w:lang w:eastAsia="pl-PL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412F58" w:rsidTr="007B5809">
        <w:trPr>
          <w:trHeight w:val="1248"/>
        </w:trPr>
        <w:tc>
          <w:tcPr>
            <w:tcW w:w="9622" w:type="dxa"/>
          </w:tcPr>
          <w:p w:rsidR="00114ED1" w:rsidRPr="00412F58" w:rsidRDefault="00114ED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cs="Calibri"/>
                <w:color w:val="000000"/>
              </w:rPr>
            </w:pPr>
          </w:p>
          <w:p w:rsidR="00577833" w:rsidRPr="00412F58" w:rsidRDefault="004764F7" w:rsidP="009B718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 w:rsidRPr="00412F58">
              <w:rPr>
                <w:rFonts w:cs="Calibri"/>
                <w:color w:val="000000"/>
              </w:rPr>
              <w:t xml:space="preserve">Wykład z wykorzystaniem prezentacji multimedialnych, filmów i analizy zawartości stron internetowych. </w:t>
            </w:r>
            <w:r w:rsidR="00C85A9E">
              <w:rPr>
                <w:rFonts w:cs="Calibri"/>
                <w:color w:val="000000"/>
              </w:rPr>
              <w:t>Ćwiczenia zostaną poprowadzone</w:t>
            </w:r>
            <w:r w:rsidRPr="00412F58">
              <w:rPr>
                <w:rFonts w:cs="Calibri"/>
                <w:color w:val="000000"/>
              </w:rPr>
              <w:t xml:space="preserve"> w sposób aktywizujący studentów (dyskusja na podstawie</w:t>
            </w:r>
            <w:r w:rsidR="009B7183">
              <w:rPr>
                <w:rFonts w:cs="Calibri"/>
                <w:color w:val="000000"/>
              </w:rPr>
              <w:t xml:space="preserve"> przeczytanej lektury, zadania</w:t>
            </w:r>
            <w:r w:rsidRPr="00412F58">
              <w:rPr>
                <w:rFonts w:cs="Calibri"/>
                <w:color w:val="000000"/>
              </w:rPr>
              <w:t xml:space="preserve"> praktyczne </w:t>
            </w:r>
            <w:r w:rsidR="00C85A9E">
              <w:rPr>
                <w:rFonts w:cs="Calibri"/>
                <w:color w:val="000000"/>
              </w:rPr>
              <w:t>indywidualne i grupowe</w:t>
            </w:r>
            <w:r w:rsidRPr="00412F58">
              <w:rPr>
                <w:rFonts w:cs="Calibri"/>
                <w:color w:val="000000"/>
              </w:rPr>
              <w:t>).</w:t>
            </w:r>
          </w:p>
        </w:tc>
      </w:tr>
    </w:tbl>
    <w:p w:rsidR="00120130" w:rsidRPr="00412F58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714DCE" w:rsidRPr="00412F58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  <w:r w:rsidRPr="00412F58">
        <w:rPr>
          <w:rFonts w:eastAsia="Times New Roman" w:cs="Calibri"/>
          <w:lang w:eastAsia="pl-PL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:rsidRPr="00412F58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 xml:space="preserve">E – </w:t>
            </w:r>
            <w:r w:rsidRPr="00412F58">
              <w:rPr>
                <w:rFonts w:eastAsia="Times New Roman" w:cs="Calibri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Inne</w:t>
            </w:r>
            <w:r w:rsidR="00FE6C92">
              <w:rPr>
                <w:rFonts w:eastAsia="Times New Roman" w:cs="Calibri"/>
                <w:lang w:eastAsia="pl-PL"/>
              </w:rPr>
              <w:t xml:space="preserve"> (zadania w trakcie zajęć)</w:t>
            </w:r>
          </w:p>
        </w:tc>
      </w:tr>
      <w:tr w:rsidR="00714DCE" w:rsidRPr="00412F5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C85A9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3F52F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714DCE" w:rsidRPr="00412F5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C85A9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3F52F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E94D80" w:rsidRPr="00412F5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lastRenderedPageBreak/>
              <w:t>W03</w:t>
            </w:r>
          </w:p>
        </w:tc>
        <w:tc>
          <w:tcPr>
            <w:tcW w:w="666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94D80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94D80" w:rsidRPr="00412F58" w:rsidRDefault="00C85A9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E94D80" w:rsidRPr="00412F58" w:rsidRDefault="003F52F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714DCE" w:rsidRPr="00412F5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342CA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3F52F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714DCE" w:rsidRPr="00412F5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E523B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3F52F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714DCE" w:rsidRPr="00412F5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E94D8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3F52F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714DCE" w:rsidRPr="00412F5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412F58" w:rsidRDefault="003F52F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412F58" w:rsidRDefault="003F52F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B7183" w:rsidRPr="00412F5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B7183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B7183" w:rsidRPr="00412F58" w:rsidRDefault="009B71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B7183" w:rsidRDefault="00696BC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  <w:bookmarkStart w:id="0" w:name="_GoBack"/>
            <w:bookmarkEnd w:id="0"/>
          </w:p>
        </w:tc>
      </w:tr>
    </w:tbl>
    <w:p w:rsidR="00714DCE" w:rsidRPr="00412F58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412F58">
        <w:tc>
          <w:tcPr>
            <w:tcW w:w="1941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714DCE" w:rsidRPr="00412F58" w:rsidRDefault="003F52F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Wykład</w:t>
            </w:r>
            <w:r w:rsidR="00213991" w:rsidRPr="00412F58">
              <w:rPr>
                <w:rFonts w:eastAsia="Times New Roman" w:cs="Calibri"/>
                <w:lang w:eastAsia="pl-PL"/>
              </w:rPr>
              <w:t>:</w:t>
            </w:r>
          </w:p>
          <w:p w:rsidR="00E94D80" w:rsidRDefault="006E0763" w:rsidP="006E0763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E w:val="0"/>
              <w:spacing w:before="57" w:after="57" w:line="240" w:lineRule="auto"/>
              <w:ind w:left="581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 xml:space="preserve">obecność </w:t>
            </w:r>
            <w:r w:rsidR="00E94D80" w:rsidRPr="00412F58">
              <w:rPr>
                <w:rFonts w:eastAsia="Times New Roman" w:cs="Calibri"/>
                <w:lang w:eastAsia="pl-PL"/>
              </w:rPr>
              <w:t>na zajęciach</w:t>
            </w:r>
            <w:r w:rsidR="00FE6C92">
              <w:rPr>
                <w:rFonts w:eastAsia="Times New Roman" w:cs="Calibri"/>
                <w:lang w:eastAsia="pl-PL"/>
              </w:rPr>
              <w:t xml:space="preserve"> (minimum 8</w:t>
            </w:r>
            <w:r w:rsidR="00114ED1" w:rsidRPr="00412F58">
              <w:rPr>
                <w:rFonts w:eastAsia="Times New Roman" w:cs="Calibri"/>
                <w:lang w:eastAsia="pl-PL"/>
              </w:rPr>
              <w:t>0% obecności)</w:t>
            </w:r>
          </w:p>
          <w:p w:rsidR="00F53C14" w:rsidRPr="00412F58" w:rsidRDefault="00F53C14" w:rsidP="00F53C1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Ćwiczenia:</w:t>
            </w:r>
          </w:p>
          <w:p w:rsidR="00714DCE" w:rsidRDefault="006E0763" w:rsidP="006E0763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E w:val="0"/>
              <w:spacing w:before="57" w:after="57" w:line="240" w:lineRule="auto"/>
              <w:ind w:left="581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 xml:space="preserve">aktywność </w:t>
            </w:r>
            <w:r w:rsidR="00E94D80" w:rsidRPr="00412F58">
              <w:rPr>
                <w:rFonts w:eastAsia="Times New Roman" w:cs="Calibri"/>
                <w:lang w:eastAsia="pl-PL"/>
              </w:rPr>
              <w:t>i wykonywanie zadań w trakcie zajęć</w:t>
            </w:r>
          </w:p>
          <w:p w:rsidR="00F53C14" w:rsidRDefault="00F53C14" w:rsidP="00F53C14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E w:val="0"/>
              <w:spacing w:before="57" w:after="57" w:line="240" w:lineRule="auto"/>
              <w:ind w:left="581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obecność na zajęciach</w:t>
            </w:r>
            <w:r>
              <w:rPr>
                <w:rFonts w:eastAsia="Times New Roman" w:cs="Calibri"/>
                <w:lang w:eastAsia="pl-PL"/>
              </w:rPr>
              <w:t xml:space="preserve"> (minimum 8</w:t>
            </w:r>
            <w:r w:rsidRPr="00412F58">
              <w:rPr>
                <w:rFonts w:eastAsia="Times New Roman" w:cs="Calibri"/>
                <w:lang w:eastAsia="pl-PL"/>
              </w:rPr>
              <w:t>0% obecności)</w:t>
            </w:r>
          </w:p>
          <w:p w:rsidR="00F53C14" w:rsidRDefault="00F53C14" w:rsidP="00F53C1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Egzamin (forma testowa):</w:t>
            </w:r>
          </w:p>
          <w:p w:rsidR="00F53C14" w:rsidRPr="00412F58" w:rsidRDefault="00F53C14" w:rsidP="00F53C1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- uzyskanie min. 60% punktów</w:t>
            </w:r>
          </w:p>
          <w:p w:rsidR="00114ED1" w:rsidRPr="00412F58" w:rsidRDefault="00114ED1" w:rsidP="00D8014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221"/>
              <w:rPr>
                <w:rFonts w:eastAsia="Times New Roman" w:cs="Calibri"/>
                <w:lang w:eastAsia="pl-PL"/>
              </w:rPr>
            </w:pPr>
          </w:p>
        </w:tc>
      </w:tr>
    </w:tbl>
    <w:p w:rsidR="00714DCE" w:rsidRPr="00412F58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412F58" w:rsidTr="006E0763">
        <w:trPr>
          <w:trHeight w:val="747"/>
        </w:trPr>
        <w:tc>
          <w:tcPr>
            <w:tcW w:w="1941" w:type="dxa"/>
            <w:shd w:val="clear" w:color="auto" w:fill="DBE5F1"/>
            <w:vAlign w:val="center"/>
          </w:tcPr>
          <w:p w:rsidR="00714DCE" w:rsidRPr="00412F58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12F58">
              <w:rPr>
                <w:rFonts w:eastAsia="Times New Roman" w:cs="Calibri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114ED1" w:rsidRPr="00412F58" w:rsidRDefault="00C85A9E" w:rsidP="00114ED1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Wszystkie zadania z ćwiczeń muszą zostać wykonane. Nieobecność na zajęciach nie zwalnia z konieczności wykonania zadania.</w:t>
            </w:r>
          </w:p>
          <w:p w:rsidR="00714DCE" w:rsidRPr="00412F58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577833" w:rsidRPr="00412F58" w:rsidRDefault="00577833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714DCE" w:rsidRPr="00412F58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  <w:r w:rsidRPr="00412F58">
        <w:rPr>
          <w:rFonts w:eastAsia="Times New Roman" w:cs="Calibri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412F58">
        <w:trPr>
          <w:trHeight w:val="1136"/>
        </w:trPr>
        <w:tc>
          <w:tcPr>
            <w:tcW w:w="9622" w:type="dxa"/>
          </w:tcPr>
          <w:p w:rsidR="00797900" w:rsidRPr="00412F58" w:rsidRDefault="00797900" w:rsidP="00797900">
            <w:pPr>
              <w:pStyle w:val="Akapitzlist"/>
              <w:ind w:left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  <w:p w:rsidR="00C85A9E" w:rsidRDefault="00C85A9E" w:rsidP="00C85A9E">
            <w:r>
              <w:t>1. Definicje, pojęcia, tematy:</w:t>
            </w:r>
          </w:p>
          <w:p w:rsidR="00C85A9E" w:rsidRDefault="00C85A9E" w:rsidP="00C85A9E">
            <w:r>
              <w:t xml:space="preserve">Bezpieczeństwo informacyjne, bezpieczeństwo informacji, zagrożenia dla bezpieczeństwa informacji (podział, przykłady), atrybuty bezpieczeństwa informacji, </w:t>
            </w:r>
            <w:proofErr w:type="spellStart"/>
            <w:r>
              <w:t>cyberbezpieczeństwo</w:t>
            </w:r>
            <w:proofErr w:type="spellEnd"/>
            <w:r>
              <w:t xml:space="preserve">, </w:t>
            </w:r>
            <w:proofErr w:type="spellStart"/>
            <w:r>
              <w:t>cyberzagrożenia</w:t>
            </w:r>
            <w:proofErr w:type="spellEnd"/>
            <w:r>
              <w:t xml:space="preserve">, cyberprzestępczość, pasywne i aktywne ataki na systemy komputerowe, spam, </w:t>
            </w:r>
            <w:proofErr w:type="spellStart"/>
            <w:r>
              <w:t>phishing</w:t>
            </w:r>
            <w:proofErr w:type="spellEnd"/>
            <w:r>
              <w:t xml:space="preserve">, </w:t>
            </w:r>
            <w:proofErr w:type="spellStart"/>
            <w:r>
              <w:t>carding</w:t>
            </w:r>
            <w:proofErr w:type="spellEnd"/>
            <w:r>
              <w:t xml:space="preserve">, prawo autorskie (podstawowe pojęcia, np. utwór, prawa majątkowe i osobiste, przedmiot i podmiot prawa autorskiego, dozwolony użytek prywatny, plagiat), piractwo, pornografia dziecięca, krajowy system </w:t>
            </w:r>
            <w:proofErr w:type="spellStart"/>
            <w:r>
              <w:t>cyberbezpieczeństwa</w:t>
            </w:r>
            <w:proofErr w:type="spellEnd"/>
            <w:r>
              <w:t>, Zespół Reagowania na Incydenty Bezpieczeństwa, zarządzanie bezpieczeństwem informacyjnym, audyt bezpieczeństwa informacji, Polityka bezpieczeństwa informacji (w tym zabezpieczenia), kompetencje informacyjne i cyfrowe.</w:t>
            </w:r>
          </w:p>
          <w:p w:rsidR="00C85A9E" w:rsidRDefault="00C85A9E" w:rsidP="00C85A9E">
            <w:r>
              <w:t>2. Podział cyberprzestępstw według Konwencji Rady Europy o cyberprzestępczości z 2001 r. + analiza przykładów cyberprzestępstw</w:t>
            </w:r>
          </w:p>
          <w:p w:rsidR="00C85A9E" w:rsidRDefault="00C85A9E" w:rsidP="00C85A9E">
            <w:r>
              <w:t>3. Kodeks Karny – typy przestępstw przeciwko bezpieczeństwu informacyjnemu, sposoby definiowania</w:t>
            </w:r>
          </w:p>
          <w:p w:rsidR="00C85A9E" w:rsidRDefault="00C85A9E" w:rsidP="00C85A9E">
            <w:r>
              <w:t>- p</w:t>
            </w:r>
            <w:r w:rsidRPr="008E4200">
              <w:t>rzestępstwa przeciw poufności, integralności i dostępności danych</w:t>
            </w:r>
            <w:r>
              <w:t xml:space="preserve"> i systemów</w:t>
            </w:r>
          </w:p>
          <w:p w:rsidR="00C85A9E" w:rsidRDefault="00C85A9E" w:rsidP="00C85A9E">
            <w:r>
              <w:t>- p</w:t>
            </w:r>
            <w:r w:rsidRPr="008E4200">
              <w:t>rzestępstwa: komputer jako narzędzie</w:t>
            </w:r>
          </w:p>
          <w:p w:rsidR="00C85A9E" w:rsidRDefault="00C85A9E" w:rsidP="00C85A9E">
            <w:r>
              <w:t>- przestępstwa związane z treścią informacji</w:t>
            </w:r>
          </w:p>
          <w:p w:rsidR="00C85A9E" w:rsidRDefault="00C85A9E" w:rsidP="00C85A9E">
            <w:r>
              <w:t>4. Naruszenia prawa autorskiego – typy naruszeń/przestępstw wymienione w KK, Ustawie</w:t>
            </w:r>
            <w:r w:rsidRPr="00FB282E">
              <w:t xml:space="preserve"> z dnia 4 lutego 1994 r. o prawie autorskim i prawach pokrewnych</w:t>
            </w:r>
            <w:r>
              <w:t>, Ustawie</w:t>
            </w:r>
            <w:r w:rsidRPr="00FB282E">
              <w:t xml:space="preserve"> z dnia 30 czerwca 2000 r. Prawo własności przemysłowej</w:t>
            </w:r>
            <w:r>
              <w:t>, Ustawie</w:t>
            </w:r>
            <w:r w:rsidRPr="00FB282E">
              <w:t xml:space="preserve"> z dnia 16 kwietnia 1993 r. o zwalczaniu nieuczciwej konkurencji</w:t>
            </w:r>
            <w:r>
              <w:t>.</w:t>
            </w:r>
          </w:p>
          <w:p w:rsidR="00C85A9E" w:rsidRDefault="00C85A9E" w:rsidP="00C85A9E">
            <w:r>
              <w:lastRenderedPageBreak/>
              <w:t>5. Organy działające w intencji przeciwdziałania cyberprzestępczości – główne obszary działań.</w:t>
            </w:r>
          </w:p>
          <w:p w:rsidR="00C85A9E" w:rsidRDefault="00C85A9E" w:rsidP="00C85A9E">
            <w:r>
              <w:t xml:space="preserve">6. </w:t>
            </w:r>
            <w:r w:rsidRPr="00066CB5">
              <w:t xml:space="preserve">Strategia </w:t>
            </w:r>
            <w:proofErr w:type="spellStart"/>
            <w:r w:rsidRPr="00066CB5">
              <w:t>Cyberbezpieczeństwa</w:t>
            </w:r>
            <w:proofErr w:type="spellEnd"/>
            <w:r w:rsidRPr="00066CB5">
              <w:t xml:space="preserve"> Rzeczypospolitej Polskiej na lata 2019-2024</w:t>
            </w:r>
            <w:r>
              <w:t>.</w:t>
            </w:r>
          </w:p>
          <w:p w:rsidR="00D80143" w:rsidRPr="00412F58" w:rsidRDefault="00D80143" w:rsidP="00051A6F">
            <w:pPr>
              <w:jc w:val="both"/>
              <w:rPr>
                <w:rFonts w:cs="Calibri"/>
              </w:rPr>
            </w:pPr>
          </w:p>
        </w:tc>
      </w:tr>
    </w:tbl>
    <w:p w:rsidR="007B5809" w:rsidRPr="00412F58" w:rsidRDefault="007B5809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C85A9E" w:rsidRDefault="00C85A9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714DCE" w:rsidRPr="00412F58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  <w:r w:rsidRPr="00412F58">
        <w:rPr>
          <w:rFonts w:eastAsia="Times New Roman" w:cs="Calibri"/>
          <w:lang w:eastAsia="pl-PL"/>
        </w:rPr>
        <w:t>Wykaz literatury podstawowej</w:t>
      </w:r>
      <w:r w:rsidR="00514278" w:rsidRPr="00412F58">
        <w:rPr>
          <w:rFonts w:eastAsia="Times New Roman" w:cs="Calibri"/>
          <w:lang w:eastAsia="pl-PL"/>
        </w:rPr>
        <w:t>:</w:t>
      </w:r>
    </w:p>
    <w:tbl>
      <w:tblPr>
        <w:tblW w:w="986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714DCE" w:rsidRPr="00412F58" w:rsidTr="007B5809">
        <w:trPr>
          <w:trHeight w:val="1098"/>
        </w:trPr>
        <w:tc>
          <w:tcPr>
            <w:tcW w:w="9862" w:type="dxa"/>
          </w:tcPr>
          <w:p w:rsidR="00B647B3" w:rsidRPr="00412F58" w:rsidRDefault="00B647B3" w:rsidP="00B647B3">
            <w:pPr>
              <w:numPr>
                <w:ilvl w:val="0"/>
                <w:numId w:val="35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proofErr w:type="spellStart"/>
            <w:r w:rsidRPr="00412F58">
              <w:rPr>
                <w:rFonts w:cs="Calibri"/>
                <w:sz w:val="20"/>
                <w:szCs w:val="20"/>
              </w:rPr>
              <w:t>Liderman</w:t>
            </w:r>
            <w:proofErr w:type="spellEnd"/>
            <w:r w:rsidRPr="00412F58">
              <w:rPr>
                <w:rFonts w:cs="Calibri"/>
                <w:sz w:val="20"/>
                <w:szCs w:val="20"/>
              </w:rPr>
              <w:t xml:space="preserve"> K. (2017). </w:t>
            </w:r>
            <w:r w:rsidRPr="00412F58">
              <w:rPr>
                <w:rFonts w:cs="Calibri"/>
                <w:i/>
                <w:sz w:val="20"/>
                <w:szCs w:val="20"/>
              </w:rPr>
              <w:t>Bezpieczeństwo informacyjne. Nowe wyzwania</w:t>
            </w:r>
            <w:r w:rsidRPr="00412F58">
              <w:rPr>
                <w:rFonts w:cs="Calibri"/>
                <w:sz w:val="20"/>
                <w:szCs w:val="20"/>
              </w:rPr>
              <w:t>. Warszawa: PWN. (lub wydanie z 2012)</w:t>
            </w:r>
          </w:p>
          <w:p w:rsidR="00971C44" w:rsidRPr="00412F58" w:rsidRDefault="00971C44" w:rsidP="00971C44">
            <w:pPr>
              <w:numPr>
                <w:ilvl w:val="0"/>
                <w:numId w:val="35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Kowalewski, Jakub; Kowalewski, Marian (2017). </w:t>
            </w:r>
            <w:r w:rsidRPr="00FE6C92">
              <w:rPr>
                <w:rFonts w:cs="Calibri"/>
                <w:i/>
                <w:sz w:val="20"/>
                <w:szCs w:val="20"/>
              </w:rPr>
              <w:t>Zagrożenia informacji w cyberprzestrzeni, cyberterroryzm</w:t>
            </w:r>
            <w:r>
              <w:rPr>
                <w:rFonts w:cs="Calibri"/>
                <w:sz w:val="20"/>
                <w:szCs w:val="20"/>
              </w:rPr>
              <w:t>. Warszawa: Oficyna Wydawnicza Politechniki Warszawskiej.</w:t>
            </w:r>
          </w:p>
          <w:p w:rsidR="00996DC9" w:rsidRDefault="003F52FA" w:rsidP="00996DC9">
            <w:pPr>
              <w:numPr>
                <w:ilvl w:val="0"/>
                <w:numId w:val="35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Białkowski, Marek (2016). </w:t>
            </w:r>
            <w:r w:rsidRPr="00FE6C92">
              <w:rPr>
                <w:rFonts w:cs="Calibri"/>
                <w:i/>
                <w:sz w:val="20"/>
                <w:szCs w:val="20"/>
              </w:rPr>
              <w:t>Ocena prawna i kryminalistyczna przestępczości komputerowe</w:t>
            </w:r>
            <w:r w:rsidR="00971C44" w:rsidRPr="00FE6C92">
              <w:rPr>
                <w:rFonts w:cs="Calibri"/>
                <w:i/>
                <w:sz w:val="20"/>
                <w:szCs w:val="20"/>
              </w:rPr>
              <w:t>j</w:t>
            </w:r>
            <w:r>
              <w:rPr>
                <w:rFonts w:cs="Calibri"/>
                <w:sz w:val="20"/>
                <w:szCs w:val="20"/>
              </w:rPr>
              <w:t xml:space="preserve">. Warszawa: </w:t>
            </w:r>
            <w:proofErr w:type="spellStart"/>
            <w:r>
              <w:rPr>
                <w:rFonts w:cs="Calibri"/>
                <w:sz w:val="20"/>
                <w:szCs w:val="20"/>
              </w:rPr>
              <w:t>CeDeWu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3F52FA" w:rsidRDefault="003F52FA" w:rsidP="00996DC9">
            <w:pPr>
              <w:numPr>
                <w:ilvl w:val="0"/>
                <w:numId w:val="35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Kosiński, Jerzy (2015). </w:t>
            </w:r>
            <w:r w:rsidRPr="00FE6C92">
              <w:rPr>
                <w:rFonts w:cs="Calibri"/>
                <w:i/>
                <w:sz w:val="20"/>
                <w:szCs w:val="20"/>
              </w:rPr>
              <w:t>Paradygmaty cyberprzestępczości</w:t>
            </w:r>
            <w:r>
              <w:rPr>
                <w:rFonts w:cs="Calibri"/>
                <w:sz w:val="20"/>
                <w:szCs w:val="20"/>
              </w:rPr>
              <w:t xml:space="preserve">. Warszawa: </w:t>
            </w:r>
            <w:proofErr w:type="spellStart"/>
            <w:r>
              <w:rPr>
                <w:rFonts w:cs="Calibri"/>
                <w:sz w:val="20"/>
                <w:szCs w:val="20"/>
              </w:rPr>
              <w:t>Difin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FE6C92" w:rsidRDefault="00FE6C92" w:rsidP="00996DC9">
            <w:pPr>
              <w:numPr>
                <w:ilvl w:val="0"/>
                <w:numId w:val="35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Banasiński, Cezary red. (2018). </w:t>
            </w:r>
            <w:proofErr w:type="spellStart"/>
            <w:r w:rsidRPr="00FE6C92">
              <w:rPr>
                <w:rFonts w:cs="Calibri"/>
                <w:i/>
                <w:sz w:val="20"/>
                <w:szCs w:val="20"/>
              </w:rPr>
              <w:t>Cyberbezpieczeństwo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Warszawa: Wolters </w:t>
            </w:r>
            <w:proofErr w:type="spellStart"/>
            <w:r>
              <w:rPr>
                <w:rFonts w:cs="Calibri"/>
                <w:sz w:val="20"/>
                <w:szCs w:val="20"/>
              </w:rPr>
              <w:t>Kluwers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3F52FA" w:rsidRPr="00412F58" w:rsidRDefault="00971C44" w:rsidP="00971C44">
            <w:pPr>
              <w:numPr>
                <w:ilvl w:val="0"/>
                <w:numId w:val="35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Kodeks Karny </w:t>
            </w:r>
            <w:r w:rsidRPr="00971C44">
              <w:rPr>
                <w:rFonts w:cs="Calibri"/>
                <w:sz w:val="20"/>
                <w:szCs w:val="20"/>
              </w:rPr>
              <w:t>Dz.U. 1997 nr 88 poz. 553</w:t>
            </w:r>
          </w:p>
        </w:tc>
      </w:tr>
    </w:tbl>
    <w:p w:rsidR="00714DCE" w:rsidRPr="00412F58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714DCE" w:rsidRPr="00412F58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  <w:r w:rsidRPr="00412F58">
        <w:rPr>
          <w:rFonts w:eastAsia="Times New Roman" w:cs="Calibri"/>
          <w:lang w:eastAsia="pl-PL"/>
        </w:rPr>
        <w:t>Wykaz literatury uzupełniającej</w:t>
      </w:r>
      <w:r w:rsidR="00514278" w:rsidRPr="00412F58">
        <w:rPr>
          <w:rFonts w:eastAsia="Times New Roman" w:cs="Calibri"/>
          <w:lang w:eastAsia="pl-PL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412F58">
        <w:trPr>
          <w:trHeight w:val="1112"/>
        </w:trPr>
        <w:tc>
          <w:tcPr>
            <w:tcW w:w="9622" w:type="dxa"/>
          </w:tcPr>
          <w:p w:rsidR="00996DC9" w:rsidRDefault="00FE6C92" w:rsidP="00971C44">
            <w:pPr>
              <w:numPr>
                <w:ilvl w:val="0"/>
                <w:numId w:val="36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Wasiuta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O., Klepka R., red. (2019</w:t>
            </w:r>
            <w:r w:rsidR="00996DC9" w:rsidRPr="00412F58">
              <w:rPr>
                <w:rFonts w:cs="Calibri"/>
                <w:sz w:val="20"/>
                <w:szCs w:val="20"/>
              </w:rPr>
              <w:t xml:space="preserve">). </w:t>
            </w:r>
            <w:r w:rsidR="00996DC9" w:rsidRPr="00FE6C92">
              <w:rPr>
                <w:rFonts w:cs="Calibri"/>
                <w:i/>
                <w:sz w:val="20"/>
                <w:szCs w:val="20"/>
              </w:rPr>
              <w:t>Vademecum Bezpieczeństwa</w:t>
            </w:r>
            <w:r w:rsidRPr="00FE6C92">
              <w:rPr>
                <w:rFonts w:cs="Calibri"/>
                <w:i/>
                <w:sz w:val="20"/>
                <w:szCs w:val="20"/>
              </w:rPr>
              <w:t xml:space="preserve"> Informacyjnego</w:t>
            </w:r>
            <w:r w:rsidR="00996DC9" w:rsidRPr="00412F58">
              <w:rPr>
                <w:rFonts w:cs="Calibri"/>
                <w:sz w:val="20"/>
                <w:szCs w:val="20"/>
              </w:rPr>
              <w:t xml:space="preserve">. Kraków: </w:t>
            </w:r>
            <w:r>
              <w:rPr>
                <w:rFonts w:cs="Calibri"/>
                <w:sz w:val="20"/>
                <w:szCs w:val="20"/>
              </w:rPr>
              <w:t xml:space="preserve">AT Wydawnictwo, </w:t>
            </w:r>
            <w:r w:rsidR="00996DC9" w:rsidRPr="00412F58">
              <w:rPr>
                <w:rFonts w:cs="Calibri"/>
                <w:sz w:val="20"/>
                <w:szCs w:val="20"/>
              </w:rPr>
              <w:t>LIBRON.</w:t>
            </w:r>
          </w:p>
          <w:p w:rsidR="00971C44" w:rsidRPr="00971C44" w:rsidRDefault="00971C44" w:rsidP="00971C44">
            <w:pPr>
              <w:numPr>
                <w:ilvl w:val="0"/>
                <w:numId w:val="36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r w:rsidRPr="00412F58">
              <w:rPr>
                <w:rFonts w:cs="Calibri"/>
                <w:sz w:val="20"/>
                <w:szCs w:val="20"/>
              </w:rPr>
              <w:t xml:space="preserve">Janczak J., Nowak A. (2013). </w:t>
            </w:r>
            <w:r w:rsidRPr="00412F58">
              <w:rPr>
                <w:rFonts w:cs="Calibri"/>
                <w:i/>
                <w:sz w:val="20"/>
                <w:szCs w:val="20"/>
              </w:rPr>
              <w:t>Bezpieczeństwo informacyjne: wybrane problemy</w:t>
            </w:r>
            <w:r w:rsidRPr="00412F58">
              <w:rPr>
                <w:rFonts w:cs="Calibri"/>
                <w:sz w:val="20"/>
                <w:szCs w:val="20"/>
              </w:rPr>
              <w:t>. Warszawa: AON.</w:t>
            </w:r>
          </w:p>
          <w:p w:rsidR="00971C44" w:rsidRPr="00412F58" w:rsidRDefault="00971C44" w:rsidP="00971C44">
            <w:pPr>
              <w:numPr>
                <w:ilvl w:val="0"/>
                <w:numId w:val="36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Lisiak-Felicka, Dominika; Szmit, Maciej (2016). </w:t>
            </w:r>
            <w:proofErr w:type="spellStart"/>
            <w:r w:rsidRPr="00FE6C92">
              <w:rPr>
                <w:rFonts w:cs="Calibri"/>
                <w:i/>
                <w:sz w:val="20"/>
                <w:szCs w:val="20"/>
              </w:rPr>
              <w:t>Cyberbezpieczeństwo</w:t>
            </w:r>
            <w:proofErr w:type="spellEnd"/>
            <w:r w:rsidRPr="00FE6C92">
              <w:rPr>
                <w:rFonts w:cs="Calibri"/>
                <w:i/>
                <w:sz w:val="20"/>
                <w:szCs w:val="20"/>
              </w:rPr>
              <w:t xml:space="preserve"> administracji publicznej w Polsce</w:t>
            </w:r>
            <w:r>
              <w:rPr>
                <w:rFonts w:cs="Calibri"/>
                <w:sz w:val="20"/>
                <w:szCs w:val="20"/>
              </w:rPr>
              <w:t xml:space="preserve">. Kraków: </w:t>
            </w:r>
            <w:proofErr w:type="spellStart"/>
            <w:r>
              <w:rPr>
                <w:rFonts w:cs="Calibri"/>
                <w:sz w:val="20"/>
                <w:szCs w:val="20"/>
              </w:rPr>
              <w:t>European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Association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for Security.</w:t>
            </w:r>
          </w:p>
          <w:p w:rsidR="00996DC9" w:rsidRDefault="00996DC9" w:rsidP="00971C44">
            <w:pPr>
              <w:numPr>
                <w:ilvl w:val="0"/>
                <w:numId w:val="36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r w:rsidRPr="00412F58">
              <w:rPr>
                <w:rFonts w:cs="Calibri"/>
                <w:sz w:val="20"/>
                <w:szCs w:val="20"/>
              </w:rPr>
              <w:t xml:space="preserve">Bączek P. (2006). </w:t>
            </w:r>
            <w:r w:rsidRPr="00412F58">
              <w:rPr>
                <w:rFonts w:cs="Calibri"/>
                <w:i/>
                <w:sz w:val="20"/>
                <w:szCs w:val="20"/>
              </w:rPr>
              <w:t>Zagrożenia informacyjne a bezpieczeństwo Państwa Polskiego</w:t>
            </w:r>
            <w:r w:rsidRPr="00412F58">
              <w:rPr>
                <w:rFonts w:cs="Calibri"/>
                <w:sz w:val="20"/>
                <w:szCs w:val="20"/>
              </w:rPr>
              <w:t>. Toruń: Wydaw.  Adam Marszałek.</w:t>
            </w:r>
          </w:p>
          <w:p w:rsidR="00971C44" w:rsidRPr="00412F58" w:rsidRDefault="00971C44" w:rsidP="00971C44">
            <w:pPr>
              <w:numPr>
                <w:ilvl w:val="0"/>
                <w:numId w:val="36"/>
              </w:numPr>
              <w:spacing w:after="0" w:line="240" w:lineRule="auto"/>
              <w:ind w:left="359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Wiśniewski, Piotr; Boehlke, Jerzy (2016). </w:t>
            </w:r>
            <w:r w:rsidRPr="00FE6C92">
              <w:rPr>
                <w:rFonts w:cs="Calibri"/>
                <w:i/>
                <w:sz w:val="20"/>
                <w:szCs w:val="20"/>
              </w:rPr>
              <w:t>Cyberprzestępczość w gospodarce</w:t>
            </w:r>
            <w:r>
              <w:rPr>
                <w:rFonts w:cs="Calibri"/>
                <w:sz w:val="20"/>
                <w:szCs w:val="20"/>
              </w:rPr>
              <w:t xml:space="preserve">. Toruń: </w:t>
            </w:r>
            <w:r w:rsidRPr="00971C44">
              <w:rPr>
                <w:rFonts w:cs="Calibri"/>
                <w:sz w:val="20"/>
                <w:szCs w:val="20"/>
              </w:rPr>
              <w:t>Wydawnictwo Naukowe Uniwersytetu Mikołaja Kopernika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778FD" w:rsidRPr="00412F58" w:rsidRDefault="002778FD" w:rsidP="00971C44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ind w:left="359" w:hanging="284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>Wodecka-Hyjek</w:t>
            </w:r>
            <w:proofErr w:type="spellEnd"/>
            <w:r w:rsidR="00F30D66"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A.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(2012). </w:t>
            </w:r>
            <w:r w:rsidRPr="00412F58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Wybrane aspekty bezpieczeństwa zasobów informacyjnych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>. W: Borowiecki</w:t>
            </w:r>
            <w:r w:rsidR="00F30D66"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R.,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Czekaj</w:t>
            </w:r>
            <w:r w:rsidR="00F30D66"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J. (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>red.</w:t>
            </w:r>
            <w:r w:rsidR="00F30D66" w:rsidRPr="00412F58">
              <w:rPr>
                <w:rFonts w:eastAsia="Times New Roman" w:cs="Calibri"/>
                <w:sz w:val="20"/>
                <w:szCs w:val="20"/>
                <w:lang w:eastAsia="pl-PL"/>
              </w:rPr>
              <w:t>).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412F58">
              <w:rPr>
                <w:rFonts w:eastAsia="Times New Roman" w:cs="Calibri"/>
                <w:i/>
                <w:sz w:val="20"/>
                <w:szCs w:val="20"/>
                <w:lang w:eastAsia="pl-PL"/>
              </w:rPr>
              <w:t>Zarządzanie informacją i komunikacją w organizacjach gospodarczych i instytucjach sektora publicznego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>. Toruń: Wydawnictwo Dom Organizatora, s. 49-68</w:t>
            </w:r>
            <w:r w:rsidR="00F30D66" w:rsidRPr="00412F58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2778FD" w:rsidRPr="00412F58" w:rsidRDefault="002778FD" w:rsidP="00971C44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ind w:left="359" w:hanging="28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>Jabłoński</w:t>
            </w:r>
            <w:r w:rsidR="00F30D66"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M.,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>Mielus</w:t>
            </w:r>
            <w:proofErr w:type="spellEnd"/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M</w:t>
            </w:r>
            <w:r w:rsidR="00F30D66" w:rsidRPr="00412F58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(2010). </w:t>
            </w:r>
            <w:r w:rsidRPr="00412F58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Zagrożenia bezpieczeństwa informacji w organizacji gospodarczej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>. W: Kwieciński</w:t>
            </w:r>
            <w:r w:rsidR="00F30D66"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M.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F30D66" w:rsidRPr="00412F58">
              <w:rPr>
                <w:rFonts w:eastAsia="Times New Roman" w:cs="Calibri"/>
                <w:sz w:val="20"/>
                <w:szCs w:val="20"/>
                <w:lang w:eastAsia="pl-PL"/>
              </w:rPr>
              <w:t>(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>red.</w:t>
            </w:r>
            <w:r w:rsidR="00F30D66" w:rsidRPr="00412F58">
              <w:rPr>
                <w:rFonts w:eastAsia="Times New Roman" w:cs="Calibri"/>
                <w:sz w:val="20"/>
                <w:szCs w:val="20"/>
                <w:lang w:eastAsia="pl-PL"/>
              </w:rPr>
              <w:t>).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412F58">
              <w:rPr>
                <w:rFonts w:eastAsia="Times New Roman" w:cs="Calibri"/>
                <w:i/>
                <w:sz w:val="20"/>
                <w:szCs w:val="20"/>
                <w:lang w:eastAsia="pl-PL"/>
              </w:rPr>
              <w:t>Bezpieczeństwo informacji – zagadnienia wybrane</w:t>
            </w:r>
            <w:r w:rsidRPr="00412F58">
              <w:rPr>
                <w:rFonts w:eastAsia="Times New Roman" w:cs="Calibri"/>
                <w:sz w:val="20"/>
                <w:szCs w:val="20"/>
                <w:lang w:eastAsia="pl-PL"/>
              </w:rPr>
              <w:t>. Kraków: Krakowskie Towarzystwo Edukacyjne, s. 23-38.</w:t>
            </w:r>
          </w:p>
          <w:p w:rsidR="00114ED1" w:rsidRPr="00412F58" w:rsidRDefault="00114ED1" w:rsidP="00114ED1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  <w:p w:rsidR="00114ED1" w:rsidRPr="00412F58" w:rsidRDefault="00114ED1" w:rsidP="00114ED1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412F58">
              <w:rPr>
                <w:rFonts w:cs="Calibri"/>
                <w:sz w:val="20"/>
                <w:lang w:val="en-US"/>
              </w:rPr>
              <w:t>Dodatkowa</w:t>
            </w:r>
            <w:proofErr w:type="spellEnd"/>
            <w:r w:rsidRPr="00412F58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412F58">
              <w:rPr>
                <w:rFonts w:cs="Calibri"/>
                <w:sz w:val="20"/>
                <w:lang w:val="en-US"/>
              </w:rPr>
              <w:t>literatura</w:t>
            </w:r>
            <w:proofErr w:type="spellEnd"/>
            <w:r w:rsidRPr="00412F58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412F58">
              <w:rPr>
                <w:rFonts w:cs="Calibri"/>
                <w:sz w:val="20"/>
                <w:lang w:val="en-US"/>
              </w:rPr>
              <w:t>będzie</w:t>
            </w:r>
            <w:proofErr w:type="spellEnd"/>
            <w:r w:rsidRPr="00412F58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412F58">
              <w:rPr>
                <w:rFonts w:cs="Calibri"/>
                <w:sz w:val="20"/>
                <w:lang w:val="en-US"/>
              </w:rPr>
              <w:t>także</w:t>
            </w:r>
            <w:proofErr w:type="spellEnd"/>
            <w:r w:rsidRPr="00412F58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412F58">
              <w:rPr>
                <w:rFonts w:cs="Calibri"/>
                <w:sz w:val="20"/>
                <w:lang w:val="en-US"/>
              </w:rPr>
              <w:t>prezentowana</w:t>
            </w:r>
            <w:proofErr w:type="spellEnd"/>
            <w:r w:rsidRPr="00412F58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412F58">
              <w:rPr>
                <w:rFonts w:cs="Calibri"/>
                <w:sz w:val="20"/>
                <w:lang w:val="en-US"/>
              </w:rPr>
              <w:t>na</w:t>
            </w:r>
            <w:proofErr w:type="spellEnd"/>
            <w:r w:rsidRPr="00412F58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412F58">
              <w:rPr>
                <w:rFonts w:cs="Calibri"/>
                <w:sz w:val="20"/>
                <w:lang w:val="en-US"/>
              </w:rPr>
              <w:t>zajęciach</w:t>
            </w:r>
            <w:proofErr w:type="spellEnd"/>
            <w:r w:rsidRPr="00412F58">
              <w:rPr>
                <w:rFonts w:cs="Calibri"/>
                <w:sz w:val="20"/>
                <w:lang w:val="en-US"/>
              </w:rPr>
              <w:t>.</w:t>
            </w:r>
          </w:p>
        </w:tc>
      </w:tr>
    </w:tbl>
    <w:p w:rsidR="004F6118" w:rsidRPr="00412F58" w:rsidRDefault="004F6118" w:rsidP="00BC5628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4F6118" w:rsidRPr="00412F58" w:rsidRDefault="00714DCE" w:rsidP="00BC5628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  <w:r w:rsidRPr="00412F58">
        <w:rPr>
          <w:rFonts w:eastAsia="Times New Roman" w:cs="Calibri"/>
          <w:lang w:eastAsia="pl-PL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:rsidRPr="00412F5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4DCE" w:rsidRPr="00412F58" w:rsidRDefault="00714DCE">
            <w:pPr>
              <w:suppressAutoHyphens/>
              <w:spacing w:after="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>Wykład</w:t>
            </w:r>
          </w:p>
        </w:tc>
        <w:tc>
          <w:tcPr>
            <w:tcW w:w="1066" w:type="dxa"/>
            <w:vAlign w:val="center"/>
          </w:tcPr>
          <w:p w:rsidR="00714DCE" w:rsidRPr="00412F58" w:rsidRDefault="009B7183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714DCE" w:rsidRPr="00412F5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5750" w:type="dxa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14DCE" w:rsidRPr="00412F58" w:rsidRDefault="009B7183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714DCE" w:rsidRPr="00412F5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</w:p>
        </w:tc>
      </w:tr>
      <w:tr w:rsidR="00714DCE" w:rsidRPr="00412F5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4DCE" w:rsidRPr="00412F58" w:rsidRDefault="00714DCE">
            <w:pPr>
              <w:suppressAutoHyphens/>
              <w:spacing w:after="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14DCE" w:rsidRPr="00412F58" w:rsidRDefault="009B7183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714DCE" w:rsidRPr="00412F5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5750" w:type="dxa"/>
            <w:vAlign w:val="center"/>
          </w:tcPr>
          <w:p w:rsidR="00E94D80" w:rsidRPr="00412F58" w:rsidRDefault="00714DCE" w:rsidP="00114ED1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 xml:space="preserve">Przygotowanie krótkiej pracy pisemnej lub referatu po zapoznaniu się z niezbędną </w:t>
            </w:r>
            <w:r w:rsidR="00114ED1" w:rsidRPr="00412F58">
              <w:rPr>
                <w:rFonts w:cs="Calibri"/>
              </w:rPr>
              <w:t>literaturą przedmiotu</w:t>
            </w:r>
          </w:p>
        </w:tc>
        <w:tc>
          <w:tcPr>
            <w:tcW w:w="1066" w:type="dxa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</w:p>
        </w:tc>
      </w:tr>
      <w:tr w:rsidR="00714DCE" w:rsidRPr="00412F5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5750" w:type="dxa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14DCE" w:rsidRPr="00412F58" w:rsidRDefault="009B7183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714DCE" w:rsidRPr="00412F58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:rsidR="00714DCE" w:rsidRPr="00412F58" w:rsidRDefault="00714DCE" w:rsidP="00FE6C92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 xml:space="preserve">Przygotowanie do </w:t>
            </w:r>
            <w:r w:rsidR="00FE6C92">
              <w:rPr>
                <w:rFonts w:cs="Calibri"/>
              </w:rPr>
              <w:t>egzaminu/zaliczenia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:rsidR="00714DCE" w:rsidRPr="00412F58" w:rsidRDefault="00FE6C92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714DCE" w:rsidRPr="00412F5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14DCE" w:rsidRPr="00412F58" w:rsidRDefault="00FE6C92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80143" w:rsidRPr="00412F58">
              <w:rPr>
                <w:rFonts w:cs="Calibri"/>
              </w:rPr>
              <w:t>5</w:t>
            </w:r>
          </w:p>
        </w:tc>
      </w:tr>
      <w:tr w:rsidR="00714DCE" w:rsidRPr="00412F5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4DCE" w:rsidRPr="00412F58" w:rsidRDefault="00714DCE">
            <w:pPr>
              <w:suppressAutoHyphens/>
              <w:spacing w:after="0"/>
              <w:ind w:left="360"/>
              <w:jc w:val="center"/>
              <w:rPr>
                <w:rFonts w:cs="Calibri"/>
              </w:rPr>
            </w:pPr>
            <w:r w:rsidRPr="00412F58">
              <w:rPr>
                <w:rFonts w:cs="Calibri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14DCE" w:rsidRPr="00412F58" w:rsidRDefault="00FE6C92">
            <w:pPr>
              <w:suppressAutoHyphens/>
              <w:spacing w:after="0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196EC6" w:rsidRPr="00412F58" w:rsidRDefault="00196EC6" w:rsidP="00196EC6">
      <w:pPr>
        <w:rPr>
          <w:rFonts w:cs="Calibri"/>
        </w:rPr>
      </w:pPr>
    </w:p>
    <w:sectPr w:rsidR="00196EC6" w:rsidRPr="00412F58" w:rsidSect="003E4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DA" w:rsidRDefault="00B262DA">
      <w:pPr>
        <w:spacing w:after="0" w:line="240" w:lineRule="auto"/>
      </w:pPr>
      <w:r>
        <w:separator/>
      </w:r>
    </w:p>
  </w:endnote>
  <w:endnote w:type="continuationSeparator" w:id="0">
    <w:p w:rsidR="00B262DA" w:rsidRDefault="00B2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CB" w:rsidRDefault="00677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CB" w:rsidRDefault="006775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6BCA">
      <w:rPr>
        <w:noProof/>
      </w:rPr>
      <w:t>4</w:t>
    </w:r>
    <w:r>
      <w:fldChar w:fldCharType="end"/>
    </w:r>
  </w:p>
  <w:p w:rsidR="006775CB" w:rsidRDefault="006775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CB" w:rsidRDefault="00677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DA" w:rsidRDefault="00B262DA">
      <w:pPr>
        <w:spacing w:after="0" w:line="240" w:lineRule="auto"/>
      </w:pPr>
      <w:r>
        <w:separator/>
      </w:r>
    </w:p>
  </w:footnote>
  <w:footnote w:type="continuationSeparator" w:id="0">
    <w:p w:rsidR="00B262DA" w:rsidRDefault="00B2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CB" w:rsidRDefault="00677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CB" w:rsidRDefault="006775CB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CB" w:rsidRDefault="00677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E4F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F85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AC0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5A2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24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C2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D8F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46F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8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D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43B8B"/>
    <w:multiLevelType w:val="multilevel"/>
    <w:tmpl w:val="856CEF7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95C86"/>
    <w:multiLevelType w:val="hybridMultilevel"/>
    <w:tmpl w:val="BA8867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C3F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6D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9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3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6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6E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EB0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03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81B64"/>
    <w:multiLevelType w:val="multilevel"/>
    <w:tmpl w:val="856CEF7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F1496"/>
    <w:multiLevelType w:val="hybridMultilevel"/>
    <w:tmpl w:val="D02E0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C3F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6D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9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3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6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6E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EB0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03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17B87"/>
    <w:multiLevelType w:val="hybridMultilevel"/>
    <w:tmpl w:val="88B0624C"/>
    <w:lvl w:ilvl="0" w:tplc="8D3A65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8F6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63C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8B5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CA3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4AF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66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CB3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00E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35355"/>
    <w:multiLevelType w:val="hybridMultilevel"/>
    <w:tmpl w:val="6FAA35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C3F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6D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9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3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6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6E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EB0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03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F7337"/>
    <w:multiLevelType w:val="hybridMultilevel"/>
    <w:tmpl w:val="C69C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8523E"/>
    <w:multiLevelType w:val="multilevel"/>
    <w:tmpl w:val="856CEF7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B0125"/>
    <w:multiLevelType w:val="multilevel"/>
    <w:tmpl w:val="95600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801EC"/>
    <w:multiLevelType w:val="hybridMultilevel"/>
    <w:tmpl w:val="B28A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C7B75"/>
    <w:multiLevelType w:val="hybridMultilevel"/>
    <w:tmpl w:val="C36CA39A"/>
    <w:lvl w:ilvl="0" w:tplc="D9DC6F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03086"/>
    <w:multiLevelType w:val="hybridMultilevel"/>
    <w:tmpl w:val="9560075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94C3F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6D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9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3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6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6E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EB0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03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65857"/>
    <w:multiLevelType w:val="hybridMultilevel"/>
    <w:tmpl w:val="9B44F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C3F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6D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9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3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6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6E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EB0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03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10233"/>
    <w:multiLevelType w:val="hybridMultilevel"/>
    <w:tmpl w:val="449EDB10"/>
    <w:lvl w:ilvl="0" w:tplc="98B01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329EA"/>
    <w:multiLevelType w:val="hybridMultilevel"/>
    <w:tmpl w:val="51EE845C"/>
    <w:lvl w:ilvl="0" w:tplc="96D86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583661"/>
    <w:multiLevelType w:val="multilevel"/>
    <w:tmpl w:val="856CEF7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51647"/>
    <w:multiLevelType w:val="hybridMultilevel"/>
    <w:tmpl w:val="A3987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C3F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6D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9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3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6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6E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EB0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03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D4C6C"/>
    <w:multiLevelType w:val="hybridMultilevel"/>
    <w:tmpl w:val="1BF2800E"/>
    <w:lvl w:ilvl="0" w:tplc="09AA31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418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AED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C27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226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EDB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4E9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A0B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6D7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E20B8"/>
    <w:multiLevelType w:val="hybridMultilevel"/>
    <w:tmpl w:val="D81655AC"/>
    <w:lvl w:ilvl="0" w:tplc="96D8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01E9D"/>
    <w:multiLevelType w:val="multilevel"/>
    <w:tmpl w:val="856CEF7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60D34"/>
    <w:multiLevelType w:val="hybridMultilevel"/>
    <w:tmpl w:val="856CEF7C"/>
    <w:lvl w:ilvl="0" w:tplc="08A4BF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C3F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6D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9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3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6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6E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EB0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03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B2A72"/>
    <w:multiLevelType w:val="hybridMultilevel"/>
    <w:tmpl w:val="49E8C178"/>
    <w:lvl w:ilvl="0" w:tplc="96D8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32B67"/>
    <w:multiLevelType w:val="hybridMultilevel"/>
    <w:tmpl w:val="9BE87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C3F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6D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9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3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6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6E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EB0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03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A4178"/>
    <w:multiLevelType w:val="hybridMultilevel"/>
    <w:tmpl w:val="BFE65BB0"/>
    <w:lvl w:ilvl="0" w:tplc="96D86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4F0BFC"/>
    <w:multiLevelType w:val="hybridMultilevel"/>
    <w:tmpl w:val="FE76A9EC"/>
    <w:lvl w:ilvl="0" w:tplc="671879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2CE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48D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C6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23C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65B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CE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89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0D7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437EF"/>
    <w:multiLevelType w:val="hybridMultilevel"/>
    <w:tmpl w:val="FD6A8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44FB6"/>
    <w:multiLevelType w:val="multilevel"/>
    <w:tmpl w:val="856CEF7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25"/>
  </w:num>
  <w:num w:numId="5">
    <w:abstractNumId w:val="32"/>
  </w:num>
  <w:num w:numId="6">
    <w:abstractNumId w:val="29"/>
  </w:num>
  <w:num w:numId="7">
    <w:abstractNumId w:val="21"/>
  </w:num>
  <w:num w:numId="8">
    <w:abstractNumId w:val="18"/>
  </w:num>
  <w:num w:numId="9">
    <w:abstractNumId w:val="13"/>
  </w:num>
  <w:num w:numId="10">
    <w:abstractNumId w:val="10"/>
  </w:num>
  <w:num w:numId="11">
    <w:abstractNumId w:val="15"/>
  </w:num>
  <w:num w:numId="12">
    <w:abstractNumId w:val="36"/>
  </w:num>
  <w:num w:numId="13">
    <w:abstractNumId w:val="22"/>
  </w:num>
  <w:num w:numId="14">
    <w:abstractNumId w:val="12"/>
  </w:num>
  <w:num w:numId="15">
    <w:abstractNumId w:val="11"/>
  </w:num>
  <w:num w:numId="16">
    <w:abstractNumId w:val="17"/>
  </w:num>
  <w:num w:numId="17">
    <w:abstractNumId w:val="26"/>
  </w:num>
  <w:num w:numId="18">
    <w:abstractNumId w:val="14"/>
  </w:num>
  <w:num w:numId="19">
    <w:abstractNumId w:val="3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5"/>
  </w:num>
  <w:num w:numId="31">
    <w:abstractNumId w:val="31"/>
  </w:num>
  <w:num w:numId="32">
    <w:abstractNumId w:val="28"/>
  </w:num>
  <w:num w:numId="33">
    <w:abstractNumId w:val="24"/>
  </w:num>
  <w:num w:numId="34">
    <w:abstractNumId w:val="33"/>
  </w:num>
  <w:num w:numId="35">
    <w:abstractNumId w:val="19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5"/>
    <w:rsid w:val="00011259"/>
    <w:rsid w:val="00020750"/>
    <w:rsid w:val="00051A6F"/>
    <w:rsid w:val="000921D3"/>
    <w:rsid w:val="000D0366"/>
    <w:rsid w:val="001065A5"/>
    <w:rsid w:val="00114ED1"/>
    <w:rsid w:val="00120130"/>
    <w:rsid w:val="00196EC6"/>
    <w:rsid w:val="001B5C69"/>
    <w:rsid w:val="001B6C1F"/>
    <w:rsid w:val="001F05DE"/>
    <w:rsid w:val="001F4795"/>
    <w:rsid w:val="002138E6"/>
    <w:rsid w:val="00213991"/>
    <w:rsid w:val="00226297"/>
    <w:rsid w:val="002437E6"/>
    <w:rsid w:val="00247CBE"/>
    <w:rsid w:val="002778FD"/>
    <w:rsid w:val="002B5ABE"/>
    <w:rsid w:val="002C5825"/>
    <w:rsid w:val="002E44E9"/>
    <w:rsid w:val="003211FD"/>
    <w:rsid w:val="00324589"/>
    <w:rsid w:val="003322F1"/>
    <w:rsid w:val="00335723"/>
    <w:rsid w:val="00342CA4"/>
    <w:rsid w:val="00354B62"/>
    <w:rsid w:val="00382149"/>
    <w:rsid w:val="00386A50"/>
    <w:rsid w:val="003B1694"/>
    <w:rsid w:val="003D0D76"/>
    <w:rsid w:val="003E42E3"/>
    <w:rsid w:val="003F52FA"/>
    <w:rsid w:val="00412F58"/>
    <w:rsid w:val="004626A2"/>
    <w:rsid w:val="004764F7"/>
    <w:rsid w:val="004E36F5"/>
    <w:rsid w:val="004F6118"/>
    <w:rsid w:val="00501B0B"/>
    <w:rsid w:val="00514278"/>
    <w:rsid w:val="0054675F"/>
    <w:rsid w:val="0056691A"/>
    <w:rsid w:val="00577833"/>
    <w:rsid w:val="00586460"/>
    <w:rsid w:val="005D6396"/>
    <w:rsid w:val="005E4AFD"/>
    <w:rsid w:val="005E74E7"/>
    <w:rsid w:val="005F0D3E"/>
    <w:rsid w:val="005F2D83"/>
    <w:rsid w:val="006041DE"/>
    <w:rsid w:val="00675796"/>
    <w:rsid w:val="006775CB"/>
    <w:rsid w:val="00696BCA"/>
    <w:rsid w:val="00696D36"/>
    <w:rsid w:val="006B7544"/>
    <w:rsid w:val="006C78F1"/>
    <w:rsid w:val="006E0763"/>
    <w:rsid w:val="00714DCE"/>
    <w:rsid w:val="00735CCD"/>
    <w:rsid w:val="0073789B"/>
    <w:rsid w:val="007614D9"/>
    <w:rsid w:val="00772340"/>
    <w:rsid w:val="00797900"/>
    <w:rsid w:val="007B5809"/>
    <w:rsid w:val="007B7D92"/>
    <w:rsid w:val="008152E2"/>
    <w:rsid w:val="00827E29"/>
    <w:rsid w:val="00832D2E"/>
    <w:rsid w:val="0084320A"/>
    <w:rsid w:val="00953222"/>
    <w:rsid w:val="009676A6"/>
    <w:rsid w:val="00971A0B"/>
    <w:rsid w:val="00971C44"/>
    <w:rsid w:val="00996DC9"/>
    <w:rsid w:val="00997F23"/>
    <w:rsid w:val="009B1BA6"/>
    <w:rsid w:val="009B7183"/>
    <w:rsid w:val="00A075A4"/>
    <w:rsid w:val="00A3745D"/>
    <w:rsid w:val="00AA34D4"/>
    <w:rsid w:val="00B262DA"/>
    <w:rsid w:val="00B647B3"/>
    <w:rsid w:val="00BC5628"/>
    <w:rsid w:val="00BD34A7"/>
    <w:rsid w:val="00BE52D0"/>
    <w:rsid w:val="00C11C2B"/>
    <w:rsid w:val="00C143D7"/>
    <w:rsid w:val="00C43F24"/>
    <w:rsid w:val="00C843A6"/>
    <w:rsid w:val="00C85A9E"/>
    <w:rsid w:val="00CA3480"/>
    <w:rsid w:val="00CF3462"/>
    <w:rsid w:val="00CF4E8B"/>
    <w:rsid w:val="00D0300D"/>
    <w:rsid w:val="00D2486B"/>
    <w:rsid w:val="00D67AA9"/>
    <w:rsid w:val="00D80143"/>
    <w:rsid w:val="00D8386F"/>
    <w:rsid w:val="00DA6690"/>
    <w:rsid w:val="00DE6CF2"/>
    <w:rsid w:val="00DF2C91"/>
    <w:rsid w:val="00E05287"/>
    <w:rsid w:val="00E523B1"/>
    <w:rsid w:val="00E94D80"/>
    <w:rsid w:val="00F01C32"/>
    <w:rsid w:val="00F0592C"/>
    <w:rsid w:val="00F13C77"/>
    <w:rsid w:val="00F23159"/>
    <w:rsid w:val="00F30D66"/>
    <w:rsid w:val="00F315DF"/>
    <w:rsid w:val="00F36762"/>
    <w:rsid w:val="00F400EB"/>
    <w:rsid w:val="00F46A1B"/>
    <w:rsid w:val="00F53C14"/>
    <w:rsid w:val="00F86DB5"/>
    <w:rsid w:val="00FE6C92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272F38"/>
  <w15:chartTrackingRefBased/>
  <w15:docId w15:val="{3260AF07-FB6F-4077-A1DA-238A6A4A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2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E42E3"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3E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3E42E3"/>
  </w:style>
  <w:style w:type="paragraph" w:styleId="Stopka">
    <w:name w:val="footer"/>
    <w:basedOn w:val="Normalny"/>
    <w:semiHidden/>
    <w:unhideWhenUsed/>
    <w:rsid w:val="003E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3E42E3"/>
  </w:style>
  <w:style w:type="character" w:styleId="Wyrnieniedelikatne">
    <w:name w:val="Subtle Emphasis"/>
    <w:qFormat/>
    <w:rsid w:val="003E42E3"/>
    <w:rPr>
      <w:i/>
      <w:iCs/>
      <w:color w:val="808080"/>
    </w:rPr>
  </w:style>
  <w:style w:type="paragraph" w:styleId="Akapitzlist">
    <w:name w:val="List Paragraph"/>
    <w:basedOn w:val="Normalny"/>
    <w:qFormat/>
    <w:rsid w:val="00E94D8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cze">
    <w:name w:val="Hyperlink"/>
    <w:rsid w:val="00011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Paulina M</cp:lastModifiedBy>
  <cp:revision>3</cp:revision>
  <cp:lastPrinted>2012-01-27T08:28:00Z</cp:lastPrinted>
  <dcterms:created xsi:type="dcterms:W3CDTF">2021-09-29T16:03:00Z</dcterms:created>
  <dcterms:modified xsi:type="dcterms:W3CDTF">2021-09-29T16:03:00Z</dcterms:modified>
</cp:coreProperties>
</file>